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49807C71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A3722C">
        <w:rPr>
          <w:rFonts w:ascii="Arial" w:hAnsi="Arial" w:cs="Arial"/>
          <w:b/>
          <w:sz w:val="35"/>
          <w:szCs w:val="35"/>
        </w:rPr>
        <w:t>Octo</w:t>
      </w:r>
      <w:r w:rsidR="00E47B5E">
        <w:rPr>
          <w:rFonts w:ascii="Arial" w:hAnsi="Arial" w:cs="Arial"/>
          <w:b/>
          <w:sz w:val="35"/>
          <w:szCs w:val="35"/>
        </w:rPr>
        <w:t>bre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1E2EFBA" w14:textId="77777777" w:rsidR="00CE612B" w:rsidRDefault="00CE612B" w:rsidP="00CE612B">
      <w:pPr>
        <w:jc w:val="center"/>
        <w:rPr>
          <w:rFonts w:ascii="Arial" w:hAnsi="Arial" w:cs="Arial"/>
          <w:b/>
          <w:i/>
          <w:szCs w:val="24"/>
        </w:rPr>
      </w:pPr>
    </w:p>
    <w:p w14:paraId="671E9F97" w14:textId="77777777" w:rsidR="006F5F0F" w:rsidRDefault="006F5F0F" w:rsidP="00CE612B">
      <w:pPr>
        <w:jc w:val="center"/>
        <w:rPr>
          <w:rFonts w:ascii="Arial" w:hAnsi="Arial" w:cs="Arial"/>
          <w:b/>
          <w:i/>
          <w:szCs w:val="24"/>
        </w:rPr>
      </w:pPr>
    </w:p>
    <w:p w14:paraId="3E080F03" w14:textId="3F5A8A4A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0ABE288A" w14:textId="77777777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7518265" w14:textId="77777777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02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9"/>
        <w:gridCol w:w="1787"/>
        <w:gridCol w:w="992"/>
        <w:gridCol w:w="1134"/>
        <w:gridCol w:w="2693"/>
        <w:gridCol w:w="5954"/>
      </w:tblGrid>
      <w:tr w:rsidR="00AF620B" w:rsidRPr="00AF620B" w14:paraId="60D6DBAB" w14:textId="77777777" w:rsidTr="00AF620B">
        <w:trPr>
          <w:trHeight w:val="600"/>
        </w:trPr>
        <w:tc>
          <w:tcPr>
            <w:tcW w:w="1469" w:type="dxa"/>
            <w:shd w:val="clear" w:color="auto" w:fill="auto"/>
            <w:noWrap/>
            <w:hideMark/>
          </w:tcPr>
          <w:p w14:paraId="6D66D605" w14:textId="77777777" w:rsidR="00AF620B" w:rsidRPr="00AF620B" w:rsidRDefault="00CE4700" w:rsidP="00AF620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u w:val="single"/>
              </w:rPr>
            </w:pPr>
            <w:hyperlink r:id="rId8" w:history="1">
              <w:r w:rsidR="00AF620B" w:rsidRPr="00AF620B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18-444-5 PR</w:t>
              </w:r>
            </w:hyperlink>
          </w:p>
          <w:p w14:paraId="4A6ABB72" w14:textId="3A937369" w:rsidR="00AF620B" w:rsidRPr="00AF620B" w:rsidRDefault="00AF620B" w:rsidP="00AF620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87" w:type="dxa"/>
            <w:shd w:val="clear" w:color="auto" w:fill="auto"/>
            <w:noWrap/>
            <w:hideMark/>
          </w:tcPr>
          <w:p w14:paraId="7BA5F255" w14:textId="77777777" w:rsidR="00AF620B" w:rsidRPr="00AF620B" w:rsidRDefault="00AF620B" w:rsidP="00AF620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620B">
              <w:rPr>
                <w:rFonts w:ascii="Calibri" w:hAnsi="Calibri" w:cs="Calibri"/>
                <w:color w:val="000000"/>
                <w:sz w:val="22"/>
                <w:szCs w:val="22"/>
              </w:rPr>
              <w:t>NF EN 12504-5 PR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84E92A1" w14:textId="77777777" w:rsidR="00AF620B" w:rsidRPr="00AF620B" w:rsidRDefault="00AF620B" w:rsidP="00AF620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620B">
              <w:rPr>
                <w:rFonts w:ascii="Calibri" w:hAnsi="Calibri" w:cs="Calibri"/>
                <w:color w:val="000000"/>
                <w:sz w:val="22"/>
                <w:szCs w:val="22"/>
              </w:rPr>
              <w:t>nov-23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5BE5C1" w14:textId="77777777" w:rsidR="00AF620B" w:rsidRPr="00AF620B" w:rsidRDefault="00AF620B" w:rsidP="00AF620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620B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1CB93370" w14:textId="77777777" w:rsidR="00AF620B" w:rsidRPr="00AF620B" w:rsidRDefault="00AF620B" w:rsidP="00AF620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620B">
              <w:rPr>
                <w:rFonts w:ascii="Calibri" w:hAnsi="Calibri" w:cs="Calibri"/>
                <w:color w:val="000000"/>
                <w:sz w:val="22"/>
                <w:szCs w:val="22"/>
              </w:rPr>
              <w:t>Essais pour béton dans les structures</w:t>
            </w:r>
          </w:p>
        </w:tc>
        <w:tc>
          <w:tcPr>
            <w:tcW w:w="5954" w:type="dxa"/>
            <w:shd w:val="clear" w:color="auto" w:fill="auto"/>
            <w:hideMark/>
          </w:tcPr>
          <w:p w14:paraId="07F71E84" w14:textId="77777777" w:rsidR="00AF620B" w:rsidRPr="00AF620B" w:rsidRDefault="00AF620B" w:rsidP="00AF620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F620B">
              <w:rPr>
                <w:rFonts w:ascii="Calibri" w:hAnsi="Calibri" w:cs="Calibri"/>
                <w:color w:val="000000"/>
                <w:sz w:val="22"/>
                <w:szCs w:val="22"/>
              </w:rPr>
              <w:t>Partie 5 : Détermination de l'enrobage en béton à l'aide de pachomètres électromagnétiques</w:t>
            </w:r>
          </w:p>
        </w:tc>
      </w:tr>
    </w:tbl>
    <w:p w14:paraId="134B6C80" w14:textId="77777777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8C22146" w14:textId="77777777" w:rsidR="00825AA4" w:rsidRDefault="00825AA4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DC633E1" w14:textId="77777777" w:rsidR="00134F1E" w:rsidRDefault="00134F1E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0D9EF94" w14:textId="77777777" w:rsidR="00E47B5E" w:rsidRDefault="00E47B5E" w:rsidP="00E47B5E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Nouveaux projets de révision de normes</w:t>
      </w:r>
    </w:p>
    <w:p w14:paraId="63C8B3B7" w14:textId="77777777" w:rsidR="00E47B5E" w:rsidRDefault="00E47B5E" w:rsidP="00E47B5E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bookmarkEnd w:id="0"/>
    <w:p w14:paraId="4950D6E5" w14:textId="77777777" w:rsidR="008B2A0B" w:rsidRDefault="008B2A0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776BEA0" w14:textId="77777777" w:rsidR="00AF620B" w:rsidRDefault="00AF620B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A1461A1" w14:textId="47B4C259" w:rsidR="008B2A0B" w:rsidRPr="008B2A0B" w:rsidRDefault="008B2A0B" w:rsidP="008B2A0B">
      <w:pPr>
        <w:pStyle w:val="Titre1"/>
        <w:shd w:val="clear" w:color="auto" w:fill="FFFFFF"/>
        <w:spacing w:before="0"/>
        <w:textAlignment w:val="baseline"/>
        <w:rPr>
          <w:rStyle w:val="Lienhypertexte"/>
          <w:rFonts w:ascii="Calibri" w:eastAsia="Times New Roman" w:hAnsi="Calibri" w:cs="Calibri"/>
          <w:color w:val="000000"/>
          <w:sz w:val="22"/>
          <w:szCs w:val="22"/>
          <w:u w:val="none"/>
        </w:rPr>
      </w:pPr>
      <w:r w:rsidRPr="008B2A0B">
        <w:rPr>
          <w:rFonts w:ascii="Calibri" w:hAnsi="Calibri" w:cs="Calibri"/>
          <w:color w:val="202121"/>
          <w:sz w:val="22"/>
          <w:szCs w:val="22"/>
          <w:u w:val="single"/>
          <w:bdr w:val="none" w:sz="0" w:space="0" w:color="auto" w:frame="1"/>
        </w:rPr>
        <w:t>PR NF EN ISO 7539-6/</w:t>
      </w:r>
      <w:r w:rsidRPr="008B2A0B">
        <w:rPr>
          <w:rStyle w:val="Lienhypertexte"/>
          <w:rFonts w:ascii="Calibri" w:eastAsia="Times New Roman" w:hAnsi="Calibri" w:cs="Calibri"/>
          <w:color w:val="000000"/>
          <w:sz w:val="22"/>
          <w:szCs w:val="22"/>
          <w:u w:val="none"/>
        </w:rPr>
        <w:t>A1 - Novembre 2023</w:t>
      </w:r>
    </w:p>
    <w:p w14:paraId="6F641368" w14:textId="77777777" w:rsidR="008B2A0B" w:rsidRDefault="008B2A0B" w:rsidP="008B2A0B">
      <w:pPr>
        <w:pStyle w:val="NormalWeb"/>
        <w:shd w:val="clear" w:color="auto" w:fill="FFFFFF"/>
        <w:textAlignment w:val="top"/>
        <w:rPr>
          <w:rFonts w:ascii="Calibri" w:hAnsi="Calibri" w:cs="Calibri"/>
          <w:color w:val="202121"/>
          <w:sz w:val="22"/>
          <w:szCs w:val="22"/>
        </w:rPr>
      </w:pPr>
      <w:r w:rsidRPr="008B2A0B">
        <w:rPr>
          <w:rFonts w:ascii="Calibri" w:hAnsi="Calibri" w:cs="Calibri"/>
          <w:b/>
          <w:bCs/>
          <w:color w:val="202121"/>
          <w:sz w:val="22"/>
          <w:szCs w:val="22"/>
        </w:rPr>
        <w:t>Corrosion des métaux et alliages</w:t>
      </w:r>
      <w:r w:rsidRPr="008B2A0B">
        <w:rPr>
          <w:rFonts w:ascii="Calibri" w:hAnsi="Calibri" w:cs="Calibri"/>
          <w:color w:val="202121"/>
          <w:sz w:val="22"/>
          <w:szCs w:val="22"/>
        </w:rPr>
        <w:t xml:space="preserve"> - Essais de corrosion sous contrainte - Partie 6 : Préparation et utilisation des éprouvettes préfissurées pour essais sous charge constante ou sous déplacement constant - Amendement 1</w:t>
      </w:r>
    </w:p>
    <w:p w14:paraId="4487CB28" w14:textId="7BE13EC3" w:rsidR="008B2A0B" w:rsidRPr="00D03859" w:rsidRDefault="008B2A0B" w:rsidP="008B2A0B">
      <w:pPr>
        <w:rPr>
          <w:rFonts w:asciiTheme="minorHAnsi" w:hAnsiTheme="minorHAnsi" w:cstheme="minorHAnsi"/>
          <w:bCs/>
          <w:i/>
          <w:sz w:val="22"/>
          <w:szCs w:val="22"/>
        </w:rPr>
      </w:pPr>
      <w:r w:rsidRPr="008B2A0B">
        <w:rPr>
          <w:rFonts w:asciiTheme="minorHAnsi" w:hAnsiTheme="minorHAnsi" w:cstheme="minorHAnsi"/>
          <w:bCs/>
          <w:i/>
          <w:sz w:val="22"/>
          <w:szCs w:val="22"/>
        </w:rPr>
        <w:t>Indice de classement : A05-</w:t>
      </w:r>
      <w:r>
        <w:rPr>
          <w:rFonts w:asciiTheme="minorHAnsi" w:hAnsiTheme="minorHAnsi" w:cstheme="minorHAnsi"/>
          <w:bCs/>
          <w:i/>
          <w:sz w:val="22"/>
          <w:szCs w:val="22"/>
        </w:rPr>
        <w:t>501-</w:t>
      </w:r>
      <w:r w:rsidRPr="008B2A0B">
        <w:rPr>
          <w:rFonts w:asciiTheme="minorHAnsi" w:hAnsiTheme="minorHAnsi" w:cstheme="minorHAnsi"/>
          <w:bCs/>
          <w:i/>
          <w:sz w:val="22"/>
          <w:szCs w:val="22"/>
        </w:rPr>
        <w:t>6</w:t>
      </w:r>
      <w:r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  <w:r w:rsidRPr="008B2A0B">
        <w:rPr>
          <w:rFonts w:asciiTheme="minorHAnsi" w:hAnsiTheme="minorHAnsi" w:cstheme="minorHAnsi"/>
          <w:bCs/>
          <w:i/>
          <w:sz w:val="22"/>
          <w:szCs w:val="22"/>
        </w:rPr>
        <w:t>PR</w:t>
      </w:r>
    </w:p>
    <w:p w14:paraId="3CBD4834" w14:textId="77777777" w:rsidR="008B2A0B" w:rsidRPr="008B2A0B" w:rsidRDefault="008B2A0B" w:rsidP="008B2A0B">
      <w:pPr>
        <w:pStyle w:val="NormalWeb"/>
        <w:shd w:val="clear" w:color="auto" w:fill="FFFFFF"/>
        <w:textAlignment w:val="top"/>
        <w:rPr>
          <w:rFonts w:ascii="Calibri" w:hAnsi="Calibri" w:cs="Calibri"/>
          <w:color w:val="202121"/>
          <w:sz w:val="22"/>
          <w:szCs w:val="22"/>
        </w:rPr>
      </w:pPr>
    </w:p>
    <w:p w14:paraId="140EB64C" w14:textId="277A29DF" w:rsidR="00BC7956" w:rsidRPr="00BC7956" w:rsidRDefault="00BC7956" w:rsidP="00BC7956">
      <w:pPr>
        <w:pStyle w:val="Titre1"/>
        <w:shd w:val="clear" w:color="auto" w:fill="FFFFFF"/>
        <w:spacing w:before="0"/>
        <w:textAlignment w:val="baseline"/>
        <w:rPr>
          <w:rFonts w:ascii="Calibri" w:hAnsi="Calibri" w:cs="Calibri"/>
          <w:color w:val="202121"/>
          <w:sz w:val="22"/>
          <w:szCs w:val="22"/>
          <w:bdr w:val="none" w:sz="0" w:space="0" w:color="auto" w:frame="1"/>
        </w:rPr>
      </w:pPr>
      <w:r w:rsidRPr="00BC7956">
        <w:rPr>
          <w:rFonts w:ascii="Calibri" w:hAnsi="Calibri" w:cs="Calibri"/>
          <w:color w:val="202121"/>
          <w:sz w:val="22"/>
          <w:szCs w:val="22"/>
          <w:u w:val="single"/>
          <w:bdr w:val="none" w:sz="0" w:space="0" w:color="auto" w:frame="1"/>
        </w:rPr>
        <w:t>PR NF EN ISO 8044</w:t>
      </w:r>
      <w:r w:rsidRPr="00BC7956">
        <w:rPr>
          <w:rFonts w:ascii="Calibri" w:hAnsi="Calibri" w:cs="Calibri"/>
          <w:color w:val="202121"/>
          <w:sz w:val="22"/>
          <w:szCs w:val="22"/>
          <w:bdr w:val="none" w:sz="0" w:space="0" w:color="auto" w:frame="1"/>
        </w:rPr>
        <w:t> </w:t>
      </w:r>
      <w:r>
        <w:rPr>
          <w:rFonts w:ascii="Calibri" w:hAnsi="Calibri" w:cs="Calibri"/>
          <w:color w:val="202121"/>
          <w:sz w:val="22"/>
          <w:szCs w:val="22"/>
          <w:bdr w:val="none" w:sz="0" w:space="0" w:color="auto" w:frame="1"/>
        </w:rPr>
        <w:t>-</w:t>
      </w:r>
      <w:r w:rsidRPr="00BC7956">
        <w:rPr>
          <w:rFonts w:ascii="Calibri" w:hAnsi="Calibri" w:cs="Calibri"/>
          <w:color w:val="202121"/>
          <w:sz w:val="22"/>
          <w:szCs w:val="22"/>
        </w:rPr>
        <w:t xml:space="preserve"> Novembre 2023</w:t>
      </w:r>
    </w:p>
    <w:p w14:paraId="3ED20A85" w14:textId="5CE590C3" w:rsidR="00BC7956" w:rsidRDefault="00BC7956" w:rsidP="00BC7956">
      <w:pPr>
        <w:pStyle w:val="Titre1"/>
        <w:shd w:val="clear" w:color="auto" w:fill="FFFFFF"/>
        <w:spacing w:before="0"/>
        <w:textAlignment w:val="baseline"/>
        <w:rPr>
          <w:rFonts w:ascii="Calibri" w:hAnsi="Calibri" w:cs="Calibri"/>
          <w:color w:val="202121"/>
          <w:sz w:val="22"/>
          <w:szCs w:val="22"/>
          <w:bdr w:val="none" w:sz="0" w:space="0" w:color="auto" w:frame="1"/>
        </w:rPr>
      </w:pPr>
      <w:r w:rsidRPr="00BC7956">
        <w:rPr>
          <w:rFonts w:ascii="Calibri" w:hAnsi="Calibri" w:cs="Calibri"/>
          <w:b/>
          <w:bCs/>
          <w:color w:val="202121"/>
          <w:sz w:val="22"/>
          <w:szCs w:val="22"/>
          <w:bdr w:val="none" w:sz="0" w:space="0" w:color="auto" w:frame="1"/>
        </w:rPr>
        <w:t>Corrosion des métaux et alliages</w:t>
      </w:r>
      <w:r w:rsidRPr="00BC7956">
        <w:rPr>
          <w:rFonts w:ascii="Calibri" w:hAnsi="Calibri" w:cs="Calibri"/>
          <w:color w:val="202121"/>
          <w:sz w:val="22"/>
          <w:szCs w:val="22"/>
          <w:bdr w:val="none" w:sz="0" w:space="0" w:color="auto" w:frame="1"/>
        </w:rPr>
        <w:t xml:space="preserve"> </w:t>
      </w:r>
      <w:r>
        <w:rPr>
          <w:rFonts w:ascii="Calibri" w:hAnsi="Calibri" w:cs="Calibri"/>
          <w:color w:val="202121"/>
          <w:sz w:val="22"/>
          <w:szCs w:val="22"/>
          <w:bdr w:val="none" w:sz="0" w:space="0" w:color="auto" w:frame="1"/>
        </w:rPr>
        <w:t>–</w:t>
      </w:r>
      <w:r w:rsidRPr="00BC7956">
        <w:rPr>
          <w:rFonts w:ascii="Calibri" w:hAnsi="Calibri" w:cs="Calibri"/>
          <w:color w:val="202121"/>
          <w:sz w:val="22"/>
          <w:szCs w:val="22"/>
          <w:bdr w:val="none" w:sz="0" w:space="0" w:color="auto" w:frame="1"/>
        </w:rPr>
        <w:t xml:space="preserve"> Vocabulaire</w:t>
      </w:r>
    </w:p>
    <w:p w14:paraId="4B9EA2D0" w14:textId="43C0C5D4" w:rsidR="00BC7956" w:rsidRDefault="00BC7956" w:rsidP="00BC7956">
      <w:pPr>
        <w:rPr>
          <w:rFonts w:asciiTheme="minorHAnsi" w:hAnsiTheme="minorHAnsi" w:cstheme="minorHAnsi"/>
          <w:bCs/>
          <w:i/>
          <w:sz w:val="22"/>
          <w:szCs w:val="22"/>
        </w:rPr>
      </w:pPr>
      <w:r w:rsidRPr="008B2A0B">
        <w:rPr>
          <w:rFonts w:asciiTheme="minorHAnsi" w:hAnsiTheme="minorHAnsi" w:cstheme="minorHAnsi"/>
          <w:bCs/>
          <w:i/>
          <w:sz w:val="22"/>
          <w:szCs w:val="22"/>
        </w:rPr>
        <w:t>Indice de classement :</w:t>
      </w:r>
      <w:r>
        <w:rPr>
          <w:rFonts w:asciiTheme="minorHAnsi" w:hAnsiTheme="minorHAnsi" w:cstheme="minorHAnsi"/>
          <w:bCs/>
          <w:i/>
          <w:sz w:val="22"/>
          <w:szCs w:val="22"/>
        </w:rPr>
        <w:t xml:space="preserve"> A05-001 PR</w:t>
      </w:r>
    </w:p>
    <w:p w14:paraId="15BA37BB" w14:textId="77777777" w:rsidR="00BC7956" w:rsidRDefault="00BC7956" w:rsidP="00BC7956">
      <w:pPr>
        <w:rPr>
          <w:rFonts w:asciiTheme="minorHAnsi" w:hAnsiTheme="minorHAnsi" w:cstheme="minorHAnsi"/>
          <w:bCs/>
          <w:i/>
          <w:sz w:val="22"/>
          <w:szCs w:val="22"/>
        </w:rPr>
      </w:pPr>
    </w:p>
    <w:p w14:paraId="0C018DD9" w14:textId="77777777" w:rsidR="00AF620B" w:rsidRDefault="00AF620B" w:rsidP="00BC7956">
      <w:pPr>
        <w:rPr>
          <w:rFonts w:asciiTheme="minorHAnsi" w:hAnsiTheme="minorHAnsi" w:cstheme="minorHAnsi"/>
          <w:bCs/>
          <w:i/>
          <w:sz w:val="22"/>
          <w:szCs w:val="22"/>
        </w:rPr>
      </w:pPr>
    </w:p>
    <w:p w14:paraId="30A095C6" w14:textId="77777777" w:rsidR="00AF620B" w:rsidRDefault="00AF620B" w:rsidP="009A25A3">
      <w:pPr>
        <w:jc w:val="left"/>
        <w:rPr>
          <w:rFonts w:asciiTheme="minorHAnsi" w:hAnsiTheme="minorHAnsi" w:cstheme="minorHAnsi"/>
          <w:sz w:val="22"/>
          <w:szCs w:val="22"/>
          <w:u w:val="single"/>
          <w:bdr w:val="none" w:sz="0" w:space="0" w:color="auto" w:frame="1"/>
        </w:rPr>
      </w:pPr>
    </w:p>
    <w:p w14:paraId="2CD30EE2" w14:textId="77777777" w:rsidR="00AF620B" w:rsidRDefault="00AF620B" w:rsidP="009A25A3">
      <w:pPr>
        <w:jc w:val="left"/>
        <w:rPr>
          <w:rFonts w:asciiTheme="minorHAnsi" w:hAnsiTheme="minorHAnsi" w:cstheme="minorHAnsi"/>
          <w:sz w:val="22"/>
          <w:szCs w:val="22"/>
          <w:u w:val="single"/>
          <w:bdr w:val="none" w:sz="0" w:space="0" w:color="auto" w:frame="1"/>
        </w:rPr>
      </w:pPr>
    </w:p>
    <w:p w14:paraId="6A0FEC3B" w14:textId="1B9E8EA5" w:rsidR="009A25A3" w:rsidRPr="009A25A3" w:rsidRDefault="009A25A3" w:rsidP="009A25A3">
      <w:pPr>
        <w:jc w:val="left"/>
        <w:rPr>
          <w:rFonts w:asciiTheme="minorHAnsi" w:hAnsiTheme="minorHAnsi" w:cstheme="minorHAnsi"/>
          <w:sz w:val="22"/>
          <w:szCs w:val="22"/>
        </w:rPr>
      </w:pPr>
      <w:r w:rsidRPr="009A25A3">
        <w:rPr>
          <w:rFonts w:asciiTheme="minorHAnsi" w:hAnsiTheme="minorHAnsi" w:cstheme="minorHAnsi"/>
          <w:sz w:val="22"/>
          <w:szCs w:val="22"/>
          <w:u w:val="single"/>
          <w:bdr w:val="none" w:sz="0" w:space="0" w:color="auto" w:frame="1"/>
        </w:rPr>
        <w:t>PR NF EN ISO 16701</w:t>
      </w:r>
      <w:r w:rsidRPr="009A25A3">
        <w:rPr>
          <w:rFonts w:asciiTheme="minorHAnsi" w:hAnsiTheme="minorHAnsi" w:cstheme="minorHAnsi"/>
          <w:sz w:val="22"/>
          <w:szCs w:val="22"/>
          <w:bdr w:val="none" w:sz="0" w:space="0" w:color="auto" w:frame="1"/>
        </w:rPr>
        <w:t> - Novembre 2023</w:t>
      </w:r>
    </w:p>
    <w:p w14:paraId="7FE673B6" w14:textId="77777777" w:rsidR="009A25A3" w:rsidRDefault="009A25A3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  <w:r w:rsidRPr="009A25A3">
        <w:rPr>
          <w:rFonts w:asciiTheme="minorHAnsi" w:hAnsiTheme="minorHAnsi" w:cstheme="minorHAnsi"/>
          <w:b/>
          <w:bCs/>
          <w:sz w:val="22"/>
          <w:szCs w:val="22"/>
        </w:rPr>
        <w:t>Corrosion des métaux et alliages</w:t>
      </w:r>
      <w:r w:rsidRPr="009A25A3">
        <w:rPr>
          <w:rFonts w:asciiTheme="minorHAnsi" w:hAnsiTheme="minorHAnsi" w:cstheme="minorHAnsi"/>
          <w:sz w:val="22"/>
          <w:szCs w:val="22"/>
        </w:rPr>
        <w:t xml:space="preserve"> - Corrosion en atmosphère artificielle - Essai de corrosion accélérée comprenant des expositions sous conditions contrôlées à des cycles d'humidité et à des vaporisations intermittentes de solution saline</w:t>
      </w:r>
    </w:p>
    <w:p w14:paraId="76F9E5B7" w14:textId="6551EB3D" w:rsidR="009A25A3" w:rsidRDefault="009A25A3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  <w:r w:rsidRPr="008B2A0B">
        <w:rPr>
          <w:rFonts w:asciiTheme="minorHAnsi" w:hAnsiTheme="minorHAnsi" w:cstheme="minorHAnsi"/>
          <w:bCs/>
          <w:i/>
          <w:sz w:val="22"/>
          <w:szCs w:val="22"/>
        </w:rPr>
        <w:t>Indice de classement :</w:t>
      </w:r>
      <w:r>
        <w:rPr>
          <w:rFonts w:asciiTheme="minorHAnsi" w:hAnsiTheme="minorHAnsi" w:cstheme="minorHAnsi"/>
          <w:bCs/>
          <w:i/>
          <w:sz w:val="22"/>
          <w:szCs w:val="22"/>
        </w:rPr>
        <w:t xml:space="preserve"> A05-216 PR</w:t>
      </w:r>
    </w:p>
    <w:p w14:paraId="1790A0FF" w14:textId="77777777" w:rsidR="009A25A3" w:rsidRDefault="009A25A3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</w:p>
    <w:p w14:paraId="33BEA3F4" w14:textId="6B04A546" w:rsidR="00572ABC" w:rsidRPr="00572ABC" w:rsidRDefault="00572ABC" w:rsidP="00572ABC">
      <w:pPr>
        <w:jc w:val="left"/>
        <w:rPr>
          <w:rFonts w:asciiTheme="minorHAnsi" w:hAnsiTheme="minorHAnsi" w:cstheme="minorHAnsi"/>
          <w:sz w:val="22"/>
          <w:szCs w:val="22"/>
        </w:rPr>
      </w:pPr>
      <w:r w:rsidRPr="00572ABC">
        <w:rPr>
          <w:rFonts w:asciiTheme="minorHAnsi" w:hAnsiTheme="minorHAnsi" w:cstheme="minorHAnsi"/>
          <w:sz w:val="22"/>
          <w:szCs w:val="22"/>
          <w:u w:val="single"/>
          <w:bdr w:val="none" w:sz="0" w:space="0" w:color="auto" w:frame="1"/>
        </w:rPr>
        <w:t>PR NF EN ISO 16784-1 </w:t>
      </w:r>
      <w:r w:rsidRPr="00572ABC">
        <w:rPr>
          <w:rFonts w:asciiTheme="minorHAnsi" w:hAnsiTheme="minorHAnsi" w:cstheme="minorHAnsi"/>
          <w:sz w:val="22"/>
          <w:szCs w:val="22"/>
          <w:bdr w:val="none" w:sz="0" w:space="0" w:color="auto" w:frame="1"/>
        </w:rPr>
        <w:t>- Novembre 2023</w:t>
      </w:r>
    </w:p>
    <w:p w14:paraId="33A4A0E2" w14:textId="77777777" w:rsidR="00572ABC" w:rsidRPr="00572ABC" w:rsidRDefault="00572ABC" w:rsidP="00572ABC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  <w:r w:rsidRPr="00572ABC">
        <w:rPr>
          <w:rFonts w:asciiTheme="minorHAnsi" w:hAnsiTheme="minorHAnsi" w:cstheme="minorHAnsi"/>
          <w:b/>
          <w:bCs/>
          <w:sz w:val="22"/>
          <w:szCs w:val="22"/>
        </w:rPr>
        <w:t>Corrosion des métaux et alliages</w:t>
      </w:r>
      <w:r w:rsidRPr="00572ABC">
        <w:rPr>
          <w:rFonts w:asciiTheme="minorHAnsi" w:hAnsiTheme="minorHAnsi" w:cstheme="minorHAnsi"/>
          <w:sz w:val="22"/>
          <w:szCs w:val="22"/>
        </w:rPr>
        <w:t xml:space="preserve"> - Corrosion et entartrage des circuits de refroidissement à eau industriels - Partie 1: lignes directrices pour l'évaluation pilote des additifs anticorrosion et antitartre pour circuits de refroidissement à eau à recirculation ouverts</w:t>
      </w:r>
    </w:p>
    <w:p w14:paraId="3A8F9B42" w14:textId="1DEB66ED" w:rsidR="00572ABC" w:rsidRDefault="00572ABC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  <w:r w:rsidRPr="008B2A0B">
        <w:rPr>
          <w:rFonts w:asciiTheme="minorHAnsi" w:hAnsiTheme="minorHAnsi" w:cstheme="minorHAnsi"/>
          <w:bCs/>
          <w:i/>
          <w:sz w:val="22"/>
          <w:szCs w:val="22"/>
        </w:rPr>
        <w:t>Indice de classement :</w:t>
      </w:r>
      <w:r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  <w:r w:rsidRPr="00572ABC">
        <w:rPr>
          <w:rFonts w:asciiTheme="minorHAnsi" w:hAnsiTheme="minorHAnsi" w:cstheme="minorHAnsi"/>
          <w:bCs/>
          <w:i/>
          <w:sz w:val="22"/>
          <w:szCs w:val="22"/>
        </w:rPr>
        <w:t>A05-420-1PR</w:t>
      </w:r>
    </w:p>
    <w:p w14:paraId="0595EE37" w14:textId="77777777" w:rsidR="00572ABC" w:rsidRDefault="00572ABC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</w:p>
    <w:p w14:paraId="124819F6" w14:textId="46E7DA76" w:rsidR="00572ABC" w:rsidRPr="00134F1E" w:rsidRDefault="00572ABC" w:rsidP="00572ABC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134F1E">
        <w:rPr>
          <w:rFonts w:asciiTheme="minorHAnsi" w:hAnsiTheme="minorHAnsi" w:cstheme="minorHAnsi"/>
          <w:bCs/>
          <w:iCs/>
          <w:sz w:val="22"/>
          <w:szCs w:val="22"/>
          <w:u w:val="single"/>
        </w:rPr>
        <w:t>PR NF EN ISO 10062/A1</w:t>
      </w:r>
      <w:r w:rsidRPr="00134F1E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134F1E" w:rsidRPr="00134F1E">
        <w:rPr>
          <w:rFonts w:asciiTheme="minorHAnsi" w:hAnsiTheme="minorHAnsi" w:cstheme="minorHAnsi"/>
          <w:bCs/>
          <w:iCs/>
          <w:sz w:val="22"/>
          <w:szCs w:val="22"/>
        </w:rPr>
        <w:t>-</w:t>
      </w:r>
      <w:r w:rsidRPr="00134F1E">
        <w:rPr>
          <w:rFonts w:asciiTheme="minorHAnsi" w:hAnsiTheme="minorHAnsi" w:cstheme="minorHAnsi"/>
          <w:bCs/>
          <w:iCs/>
          <w:sz w:val="22"/>
          <w:szCs w:val="22"/>
        </w:rPr>
        <w:t xml:space="preserve"> Décembre 2023</w:t>
      </w:r>
    </w:p>
    <w:p w14:paraId="7C124D9D" w14:textId="78FAB963" w:rsidR="00572ABC" w:rsidRPr="00134F1E" w:rsidRDefault="00572ABC" w:rsidP="00572ABC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134F1E">
        <w:rPr>
          <w:rFonts w:asciiTheme="minorHAnsi" w:hAnsiTheme="minorHAnsi" w:cstheme="minorHAnsi"/>
          <w:b/>
          <w:iCs/>
          <w:sz w:val="22"/>
          <w:szCs w:val="22"/>
        </w:rPr>
        <w:t>Essais de corrosion en atmosphère artificielle à très faible concentration en gaz polluants</w:t>
      </w:r>
      <w:r w:rsidRPr="00134F1E">
        <w:rPr>
          <w:rFonts w:asciiTheme="minorHAnsi" w:hAnsiTheme="minorHAnsi" w:cstheme="minorHAnsi"/>
          <w:bCs/>
          <w:iCs/>
          <w:sz w:val="22"/>
          <w:szCs w:val="22"/>
        </w:rPr>
        <w:t xml:space="preserve"> - AMENDEMENT 1 : Note de bas de page relative à l'Avertissement</w:t>
      </w:r>
    </w:p>
    <w:p w14:paraId="6F44CFB3" w14:textId="0DF08285" w:rsidR="00572ABC" w:rsidRDefault="00572ABC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  <w:r w:rsidRPr="00572ABC">
        <w:rPr>
          <w:rFonts w:asciiTheme="minorHAnsi" w:hAnsiTheme="minorHAnsi" w:cstheme="minorHAnsi"/>
          <w:bCs/>
          <w:i/>
          <w:sz w:val="22"/>
          <w:szCs w:val="22"/>
        </w:rPr>
        <w:t>Indice de classement :</w:t>
      </w:r>
      <w:r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  <w:r w:rsidRPr="00572ABC">
        <w:rPr>
          <w:rFonts w:asciiTheme="minorHAnsi" w:hAnsiTheme="minorHAnsi" w:cstheme="minorHAnsi"/>
          <w:bCs/>
          <w:i/>
          <w:sz w:val="22"/>
          <w:szCs w:val="22"/>
        </w:rPr>
        <w:t>A05-107/A1PR</w:t>
      </w:r>
    </w:p>
    <w:p w14:paraId="4ABC1C00" w14:textId="77777777" w:rsidR="005A254D" w:rsidRDefault="005A254D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</w:p>
    <w:p w14:paraId="57628F57" w14:textId="1E8C389F" w:rsidR="005A254D" w:rsidRPr="00134F1E" w:rsidRDefault="005A254D" w:rsidP="005A254D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134F1E">
        <w:rPr>
          <w:rFonts w:asciiTheme="minorHAnsi" w:hAnsiTheme="minorHAnsi" w:cstheme="minorHAnsi"/>
          <w:bCs/>
          <w:iCs/>
          <w:sz w:val="22"/>
          <w:szCs w:val="22"/>
          <w:u w:val="single"/>
        </w:rPr>
        <w:t>PR NF EN ISO 9227/A1</w:t>
      </w:r>
      <w:r w:rsidRPr="00134F1E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r w:rsidR="00134F1E" w:rsidRPr="00134F1E">
        <w:rPr>
          <w:rFonts w:asciiTheme="minorHAnsi" w:hAnsiTheme="minorHAnsi" w:cstheme="minorHAnsi"/>
          <w:bCs/>
          <w:iCs/>
          <w:sz w:val="22"/>
          <w:szCs w:val="22"/>
        </w:rPr>
        <w:t>-</w:t>
      </w:r>
      <w:r w:rsidRPr="00134F1E">
        <w:rPr>
          <w:rFonts w:asciiTheme="minorHAnsi" w:hAnsiTheme="minorHAnsi" w:cstheme="minorHAnsi"/>
          <w:bCs/>
          <w:iCs/>
          <w:sz w:val="22"/>
          <w:szCs w:val="22"/>
        </w:rPr>
        <w:t xml:space="preserve"> Décembre 2023</w:t>
      </w:r>
    </w:p>
    <w:p w14:paraId="4B74235E" w14:textId="662B24EE" w:rsidR="005A254D" w:rsidRPr="00134F1E" w:rsidRDefault="005A254D" w:rsidP="005A254D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Cs/>
          <w:sz w:val="22"/>
          <w:szCs w:val="22"/>
        </w:rPr>
      </w:pPr>
      <w:r w:rsidRPr="00134F1E">
        <w:rPr>
          <w:rFonts w:asciiTheme="minorHAnsi" w:hAnsiTheme="minorHAnsi" w:cstheme="minorHAnsi"/>
          <w:b/>
          <w:iCs/>
          <w:sz w:val="22"/>
          <w:szCs w:val="22"/>
        </w:rPr>
        <w:t>Essais de corrosion en atmosphères artificielles - Essais aux brouillards salins</w:t>
      </w:r>
      <w:r w:rsidRPr="00134F1E">
        <w:rPr>
          <w:rFonts w:asciiTheme="minorHAnsi" w:hAnsiTheme="minorHAnsi" w:cstheme="minorHAnsi"/>
          <w:bCs/>
          <w:iCs/>
          <w:sz w:val="22"/>
          <w:szCs w:val="22"/>
        </w:rPr>
        <w:t xml:space="preserve"> - Amendement 1: Note de bas de page relative à l'Avertissement</w:t>
      </w:r>
    </w:p>
    <w:p w14:paraId="4C7BD9AE" w14:textId="33C2315E" w:rsidR="00572ABC" w:rsidRDefault="005A254D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  <w:r w:rsidRPr="00572ABC">
        <w:rPr>
          <w:rFonts w:asciiTheme="minorHAnsi" w:hAnsiTheme="minorHAnsi" w:cstheme="minorHAnsi"/>
          <w:bCs/>
          <w:i/>
          <w:sz w:val="22"/>
          <w:szCs w:val="22"/>
        </w:rPr>
        <w:t>Indice de classement :</w:t>
      </w:r>
      <w:r>
        <w:rPr>
          <w:rFonts w:asciiTheme="minorHAnsi" w:hAnsiTheme="minorHAnsi" w:cstheme="minorHAnsi"/>
          <w:bCs/>
          <w:i/>
          <w:sz w:val="22"/>
          <w:szCs w:val="22"/>
        </w:rPr>
        <w:t xml:space="preserve"> </w:t>
      </w:r>
      <w:r w:rsidRPr="005A254D">
        <w:rPr>
          <w:rFonts w:asciiTheme="minorHAnsi" w:hAnsiTheme="minorHAnsi" w:cstheme="minorHAnsi"/>
          <w:bCs/>
          <w:i/>
          <w:sz w:val="22"/>
          <w:szCs w:val="22"/>
        </w:rPr>
        <w:t>A05-101/A1PR</w:t>
      </w:r>
    </w:p>
    <w:p w14:paraId="7D654F6B" w14:textId="77777777" w:rsidR="00572ABC" w:rsidRDefault="00572ABC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4EEC9A28" w14:textId="49A23B17" w:rsidR="00677AF9" w:rsidRPr="00677AF9" w:rsidRDefault="00677AF9" w:rsidP="00677AF9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  <w:r w:rsidRPr="007E4184">
        <w:rPr>
          <w:rFonts w:asciiTheme="minorHAnsi" w:hAnsiTheme="minorHAnsi" w:cstheme="minorHAnsi"/>
          <w:sz w:val="22"/>
          <w:szCs w:val="22"/>
          <w:u w:val="single"/>
        </w:rPr>
        <w:t>PR NF EN ISO 4628-3</w:t>
      </w:r>
      <w:r w:rsidRPr="00677AF9">
        <w:rPr>
          <w:rFonts w:asciiTheme="minorHAnsi" w:hAnsiTheme="minorHAnsi" w:cstheme="minorHAnsi"/>
          <w:sz w:val="22"/>
          <w:szCs w:val="22"/>
        </w:rPr>
        <w:t xml:space="preserve"> </w:t>
      </w:r>
      <w:r w:rsidR="007E4184">
        <w:rPr>
          <w:rFonts w:asciiTheme="minorHAnsi" w:hAnsiTheme="minorHAnsi" w:cstheme="minorHAnsi"/>
          <w:sz w:val="22"/>
          <w:szCs w:val="22"/>
        </w:rPr>
        <w:t>-</w:t>
      </w:r>
      <w:r w:rsidRPr="00677AF9">
        <w:rPr>
          <w:rFonts w:asciiTheme="minorHAnsi" w:hAnsiTheme="minorHAnsi" w:cstheme="minorHAnsi"/>
          <w:sz w:val="22"/>
          <w:szCs w:val="22"/>
        </w:rPr>
        <w:t xml:space="preserve"> Novembre 2023</w:t>
      </w:r>
    </w:p>
    <w:p w14:paraId="5C8D8DA0" w14:textId="70FA3ADD" w:rsidR="00572ABC" w:rsidRDefault="00677AF9" w:rsidP="00677AF9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  <w:r w:rsidRPr="007E4184">
        <w:rPr>
          <w:rFonts w:asciiTheme="minorHAnsi" w:hAnsiTheme="minorHAnsi" w:cstheme="minorHAnsi"/>
          <w:b/>
          <w:bCs/>
          <w:sz w:val="22"/>
          <w:szCs w:val="22"/>
        </w:rPr>
        <w:t xml:space="preserve">Peintures et vernis </w:t>
      </w:r>
      <w:r w:rsidRPr="00677AF9">
        <w:rPr>
          <w:rFonts w:asciiTheme="minorHAnsi" w:hAnsiTheme="minorHAnsi" w:cstheme="minorHAnsi"/>
          <w:sz w:val="22"/>
          <w:szCs w:val="22"/>
        </w:rPr>
        <w:t>- Évaluation de la quantité et de la dimension des défauts, et de l'intensité des changements uniformes d'aspect - Partie 3 : Évaluation du degré d'enrouillement</w:t>
      </w:r>
    </w:p>
    <w:p w14:paraId="50679BB7" w14:textId="514EF6DB" w:rsidR="00572ABC" w:rsidRDefault="00677AF9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  <w:r w:rsidRPr="00572ABC">
        <w:rPr>
          <w:rFonts w:asciiTheme="minorHAnsi" w:hAnsiTheme="minorHAnsi" w:cstheme="minorHAnsi"/>
          <w:bCs/>
          <w:i/>
          <w:sz w:val="22"/>
          <w:szCs w:val="22"/>
        </w:rPr>
        <w:t>Indice de classement :</w:t>
      </w:r>
      <w:r w:rsidRPr="00677AF9">
        <w:t xml:space="preserve"> </w:t>
      </w:r>
      <w:r w:rsidRPr="00677AF9">
        <w:rPr>
          <w:rFonts w:asciiTheme="minorHAnsi" w:hAnsiTheme="minorHAnsi" w:cstheme="minorHAnsi"/>
          <w:bCs/>
          <w:i/>
          <w:sz w:val="22"/>
          <w:szCs w:val="22"/>
        </w:rPr>
        <w:t>T30-140-3PR</w:t>
      </w:r>
    </w:p>
    <w:p w14:paraId="6FBDB3B2" w14:textId="77777777" w:rsidR="00677AF9" w:rsidRDefault="00677AF9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</w:p>
    <w:p w14:paraId="32353D9A" w14:textId="77777777" w:rsidR="00677AF9" w:rsidRDefault="00677AF9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</w:p>
    <w:p w14:paraId="53E14128" w14:textId="77777777" w:rsidR="00677AF9" w:rsidRDefault="00677AF9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bCs/>
          <w:i/>
          <w:sz w:val="22"/>
          <w:szCs w:val="22"/>
        </w:rPr>
      </w:pPr>
    </w:p>
    <w:p w14:paraId="65F362A3" w14:textId="77777777" w:rsidR="00677AF9" w:rsidRDefault="00677AF9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370B9AC8" w14:textId="77777777" w:rsidR="00572ABC" w:rsidRPr="009A25A3" w:rsidRDefault="00572ABC" w:rsidP="009A25A3">
      <w:pPr>
        <w:shd w:val="clear" w:color="auto" w:fill="FFFFFF"/>
        <w:jc w:val="left"/>
        <w:textAlignment w:val="baseline"/>
        <w:rPr>
          <w:rFonts w:asciiTheme="minorHAnsi" w:hAnsiTheme="minorHAnsi" w:cstheme="minorHAnsi"/>
          <w:sz w:val="22"/>
          <w:szCs w:val="22"/>
        </w:rPr>
      </w:pPr>
    </w:p>
    <w:p w14:paraId="05622785" w14:textId="77777777" w:rsidR="009A25A3" w:rsidRPr="009A25A3" w:rsidRDefault="009A25A3" w:rsidP="00BC7956">
      <w:pPr>
        <w:rPr>
          <w:rFonts w:asciiTheme="minorHAnsi" w:hAnsiTheme="minorHAnsi" w:cstheme="minorHAnsi"/>
          <w:sz w:val="22"/>
          <w:szCs w:val="22"/>
        </w:rPr>
      </w:pPr>
    </w:p>
    <w:p w14:paraId="79C25DC9" w14:textId="77777777" w:rsidR="008B2A0B" w:rsidRPr="008B2A0B" w:rsidRDefault="008B2A0B" w:rsidP="00BC7956">
      <w:pPr>
        <w:rPr>
          <w:rFonts w:ascii="Calibri" w:hAnsi="Calibri" w:cs="Calibri"/>
          <w:b/>
          <w:i/>
          <w:sz w:val="22"/>
          <w:szCs w:val="22"/>
        </w:rPr>
      </w:pPr>
    </w:p>
    <w:sectPr w:rsidR="008B2A0B" w:rsidRPr="008B2A0B" w:rsidSect="00076193">
      <w:footerReference w:type="default" r:id="rId9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350EF5AA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A3722C">
      <w:rPr>
        <w:sz w:val="22"/>
        <w:szCs w:val="22"/>
      </w:rPr>
      <w:t>Octo</w:t>
    </w:r>
    <w:r w:rsidR="00E47B5E">
      <w:rPr>
        <w:sz w:val="22"/>
        <w:szCs w:val="22"/>
      </w:rPr>
      <w:t>bre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CE4700">
      <w:rPr>
        <w:noProof/>
        <w:sz w:val="22"/>
        <w:szCs w:val="22"/>
      </w:rPr>
      <w:t>02/11/2023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4F1E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D6191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3936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116F1"/>
    <w:rsid w:val="00611798"/>
    <w:rsid w:val="00612163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788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444-5%20PR%20novembre%202023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385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34</cp:revision>
  <cp:lastPrinted>2023-11-02T10:05:00Z</cp:lastPrinted>
  <dcterms:created xsi:type="dcterms:W3CDTF">2023-06-05T13:12:00Z</dcterms:created>
  <dcterms:modified xsi:type="dcterms:W3CDTF">2023-11-02T10:06:00Z</dcterms:modified>
</cp:coreProperties>
</file>